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1DAC" w14:textId="11B9DC3D" w:rsidR="008F2BB7" w:rsidRPr="007262C3" w:rsidRDefault="008F2BB7" w:rsidP="008F2BB7">
      <w:pPr>
        <w:spacing w:after="0" w:line="256" w:lineRule="auto"/>
        <w:jc w:val="center"/>
        <w:rPr>
          <w:rFonts w:cs="Times New Roman"/>
          <w:b/>
          <w:bCs/>
          <w:sz w:val="28"/>
          <w:szCs w:val="28"/>
          <w:u w:val="single"/>
        </w:rPr>
      </w:pPr>
      <w:r w:rsidRPr="007262C3">
        <w:rPr>
          <w:rFonts w:cs="Times New Roman"/>
          <w:b/>
          <w:bCs/>
          <w:sz w:val="28"/>
          <w:szCs w:val="28"/>
          <w:u w:val="single"/>
        </w:rPr>
        <w:t>AGENDA</w:t>
      </w:r>
    </w:p>
    <w:p w14:paraId="6136660C" w14:textId="77777777" w:rsidR="008F2BB7" w:rsidRPr="007262C3" w:rsidRDefault="008F2BB7" w:rsidP="008F2BB7">
      <w:pPr>
        <w:spacing w:after="0" w:line="256" w:lineRule="auto"/>
        <w:jc w:val="center"/>
        <w:rPr>
          <w:rFonts w:cs="Times New Roman"/>
          <w:b/>
          <w:bCs/>
        </w:rPr>
      </w:pPr>
    </w:p>
    <w:p w14:paraId="386B4851" w14:textId="131329C7" w:rsidR="008F2BB7" w:rsidRPr="007262C3" w:rsidRDefault="008F2BB7" w:rsidP="008F2BB7">
      <w:pPr>
        <w:spacing w:after="0" w:line="256" w:lineRule="auto"/>
        <w:jc w:val="center"/>
        <w:rPr>
          <w:rFonts w:cs="Times New Roman"/>
        </w:rPr>
      </w:pPr>
      <w:r w:rsidRPr="007262C3">
        <w:rPr>
          <w:rFonts w:cs="Times New Roman"/>
        </w:rPr>
        <w:t>2026 HEREL ANNUAL CONFERENCE</w:t>
      </w:r>
      <w:bookmarkStart w:id="0" w:name="_Hlk131594717"/>
    </w:p>
    <w:p w14:paraId="06C221E6" w14:textId="14EB77C9" w:rsidR="008F2BB7" w:rsidRPr="007262C3" w:rsidRDefault="008F2BB7" w:rsidP="008F2BB7">
      <w:pPr>
        <w:spacing w:after="0" w:line="256" w:lineRule="auto"/>
        <w:jc w:val="center"/>
        <w:rPr>
          <w:rFonts w:cs="Times New Roman"/>
        </w:rPr>
      </w:pPr>
      <w:r w:rsidRPr="007262C3">
        <w:rPr>
          <w:rFonts w:cs="Times New Roman"/>
        </w:rPr>
        <w:t>Hosted By: University of Nevada, Las Vegas</w:t>
      </w:r>
    </w:p>
    <w:bookmarkEnd w:id="0"/>
    <w:p w14:paraId="609B1931" w14:textId="77777777" w:rsidR="008F2BB7" w:rsidRPr="007262C3" w:rsidRDefault="008F2BB7" w:rsidP="008F2BB7">
      <w:pPr>
        <w:spacing w:after="0" w:line="240" w:lineRule="auto"/>
        <w:jc w:val="center"/>
        <w:rPr>
          <w:rFonts w:cs="Times New Roman"/>
        </w:rPr>
      </w:pPr>
      <w:r w:rsidRPr="007262C3">
        <w:rPr>
          <w:rFonts w:cs="Times New Roman"/>
        </w:rPr>
        <w:t>November 5 and 6, 2026</w:t>
      </w:r>
    </w:p>
    <w:p w14:paraId="3922662F" w14:textId="77777777" w:rsidR="008F2BB7" w:rsidRPr="007262C3" w:rsidRDefault="008F2BB7" w:rsidP="008F2BB7">
      <w:pPr>
        <w:spacing w:after="0" w:line="240" w:lineRule="auto"/>
        <w:jc w:val="center"/>
        <w:rPr>
          <w:rFonts w:cs="Times New Roman"/>
          <w:b/>
          <w:bCs/>
        </w:rPr>
      </w:pPr>
    </w:p>
    <w:p w14:paraId="329D17C5" w14:textId="039128AA" w:rsidR="008F2BB7" w:rsidRPr="00D1625B" w:rsidRDefault="008F2BB7" w:rsidP="007262C3">
      <w:pPr>
        <w:spacing w:after="240" w:line="240" w:lineRule="auto"/>
        <w:rPr>
          <w:rFonts w:asciiTheme="majorHAnsi" w:hAnsiTheme="majorHAnsi"/>
        </w:rPr>
      </w:pPr>
      <w:r w:rsidRPr="00D1625B">
        <w:rPr>
          <w:rFonts w:asciiTheme="majorHAnsi" w:hAnsiTheme="majorHAnsi"/>
        </w:rPr>
        <w:t>Conference Topics:</w:t>
      </w:r>
    </w:p>
    <w:p w14:paraId="7167B8DF" w14:textId="34346239" w:rsidR="008F2BB7" w:rsidRPr="00D1625B" w:rsidRDefault="00C643B7" w:rsidP="007262C3">
      <w:pPr>
        <w:pStyle w:val="ListParagraph"/>
        <w:numPr>
          <w:ilvl w:val="0"/>
          <w:numId w:val="1"/>
        </w:numPr>
        <w:spacing w:after="240" w:line="240" w:lineRule="auto"/>
        <w:contextualSpacing w:val="0"/>
        <w:rPr>
          <w:rFonts w:asciiTheme="majorHAnsi" w:hAnsiTheme="majorHAnsi" w:cs="Times New Roman"/>
        </w:rPr>
      </w:pPr>
      <w:r w:rsidRPr="00D1625B">
        <w:rPr>
          <w:rFonts w:asciiTheme="majorHAnsi" w:hAnsiTheme="majorHAnsi" w:cs="Times New Roman"/>
        </w:rPr>
        <w:t>Beyond the Classroom: Commercial Leasing for Educational Institution Landlords and Tenants</w:t>
      </w:r>
    </w:p>
    <w:p w14:paraId="4413DC90" w14:textId="00D171DB" w:rsidR="00B725C2" w:rsidRPr="00D1625B" w:rsidRDefault="00B725C2" w:rsidP="00B725C2">
      <w:pPr>
        <w:spacing w:after="240" w:line="240" w:lineRule="auto"/>
        <w:ind w:left="1440"/>
        <w:rPr>
          <w:rFonts w:asciiTheme="majorHAnsi" w:hAnsiTheme="majorHAnsi" w:cs="Times New Roman"/>
        </w:rPr>
      </w:pPr>
      <w:r w:rsidRPr="00D1625B">
        <w:rPr>
          <w:rFonts w:asciiTheme="majorHAnsi" w:hAnsiTheme="majorHAnsi" w:cs="Times New Roman"/>
        </w:rPr>
        <w:t>Description:  This will be an interactive session addressing commercial lease considerations relevant to circumstances where either the landlord or the tenant is an educational institution.  The session will use a typical commercial lease as the basis for the discussion, focusing on the provisions that may be uniquely negotiated to address the needs and concerns of an educational institution party.  Topics to be addressed include UBTI, student safety, use restrictions and campus operations.</w:t>
      </w:r>
    </w:p>
    <w:p w14:paraId="1A6EDFA4" w14:textId="4153551A" w:rsidR="00B725C2" w:rsidRPr="00D1625B" w:rsidRDefault="00B725C2" w:rsidP="00B725C2">
      <w:pPr>
        <w:spacing w:after="240" w:line="240" w:lineRule="auto"/>
        <w:ind w:left="1440"/>
        <w:rPr>
          <w:rFonts w:asciiTheme="majorHAnsi" w:hAnsiTheme="majorHAnsi" w:cs="Times New Roman"/>
        </w:rPr>
      </w:pPr>
      <w:r w:rsidRPr="00D1625B">
        <w:rPr>
          <w:rFonts w:asciiTheme="majorHAnsi" w:hAnsiTheme="majorHAnsi" w:cs="Times New Roman"/>
        </w:rPr>
        <w:t xml:space="preserve">Presenter:  </w:t>
      </w:r>
      <w:hyperlink r:id="rId5" w:history="1">
        <w:r w:rsidRPr="00D1625B">
          <w:rPr>
            <w:rStyle w:val="Hyperlink"/>
            <w:rFonts w:asciiTheme="majorHAnsi" w:hAnsiTheme="majorHAnsi" w:cs="Times New Roman"/>
          </w:rPr>
          <w:t xml:space="preserve">Vanessa </w:t>
        </w:r>
        <w:r w:rsidR="004B7E0E" w:rsidRPr="00D1625B">
          <w:rPr>
            <w:rStyle w:val="Hyperlink"/>
            <w:rFonts w:asciiTheme="majorHAnsi" w:hAnsiTheme="majorHAnsi" w:cs="Times New Roman"/>
          </w:rPr>
          <w:t xml:space="preserve">P. </w:t>
        </w:r>
        <w:r w:rsidRPr="00D1625B">
          <w:rPr>
            <w:rStyle w:val="Hyperlink"/>
            <w:rFonts w:asciiTheme="majorHAnsi" w:hAnsiTheme="majorHAnsi" w:cs="Times New Roman"/>
          </w:rPr>
          <w:t>Moody</w:t>
        </w:r>
      </w:hyperlink>
      <w:r w:rsidRPr="00D1625B">
        <w:rPr>
          <w:rFonts w:asciiTheme="majorHAnsi" w:hAnsiTheme="majorHAnsi" w:cs="Times New Roman"/>
        </w:rPr>
        <w:t xml:space="preserve">, Director, </w:t>
      </w:r>
      <w:hyperlink r:id="rId6" w:history="1">
        <w:r w:rsidRPr="00D1625B">
          <w:rPr>
            <w:rStyle w:val="Hyperlink"/>
            <w:rFonts w:asciiTheme="majorHAnsi" w:hAnsiTheme="majorHAnsi" w:cs="Times New Roman"/>
          </w:rPr>
          <w:t>Goulston &amp; Storrs</w:t>
        </w:r>
      </w:hyperlink>
    </w:p>
    <w:p w14:paraId="0FEE06D1" w14:textId="700E75B7" w:rsidR="00C643B7" w:rsidRPr="00D1625B" w:rsidRDefault="00C643B7" w:rsidP="007262C3">
      <w:pPr>
        <w:pStyle w:val="ListParagraph"/>
        <w:numPr>
          <w:ilvl w:val="0"/>
          <w:numId w:val="1"/>
        </w:numPr>
        <w:spacing w:after="240" w:line="240" w:lineRule="auto"/>
        <w:contextualSpacing w:val="0"/>
        <w:rPr>
          <w:rFonts w:asciiTheme="majorHAnsi" w:hAnsiTheme="majorHAnsi" w:cs="Times New Roman"/>
        </w:rPr>
      </w:pPr>
      <w:r w:rsidRPr="00D1625B">
        <w:rPr>
          <w:rFonts w:asciiTheme="majorHAnsi" w:hAnsiTheme="majorHAnsi" w:cs="Times New Roman"/>
        </w:rPr>
        <w:t>Construction Insurance in Higher Education: Mastering Controlled Insurance Programs (CIPs), and Their Interaction with other Insurances</w:t>
      </w:r>
    </w:p>
    <w:p w14:paraId="07C09C14" w14:textId="33E396E4" w:rsidR="00B725C2" w:rsidRPr="00D1625B" w:rsidRDefault="00B725C2" w:rsidP="00B725C2">
      <w:pPr>
        <w:spacing w:after="240" w:line="240" w:lineRule="auto"/>
        <w:ind w:left="1440"/>
        <w:rPr>
          <w:rFonts w:asciiTheme="majorHAnsi" w:hAnsiTheme="majorHAnsi" w:cs="Times New Roman"/>
        </w:rPr>
      </w:pPr>
      <w:r w:rsidRPr="00D1625B">
        <w:rPr>
          <w:rFonts w:asciiTheme="majorHAnsi" w:hAnsiTheme="majorHAnsi" w:cs="Times New Roman"/>
        </w:rPr>
        <w:t xml:space="preserve">Description:  This program will provide insight into “Controlled” or “Wrap” insurance programs, how and why they are implemented and how they operate fundamentally, and differ from traditional insurance.  The speakers will explore the anatomy of a controlled insurance program, how it is structured, how parties enroll, and how they are administered.  The panel will also explore how these programs interact with other insurances required on a construction project, and the importance of insurances such as builder’s risk, professional liability, pollution liability, bonds or SDI, and other coverages integral to a </w:t>
      </w:r>
      <w:proofErr w:type="spellStart"/>
      <w:r w:rsidRPr="00D1625B">
        <w:rPr>
          <w:rFonts w:asciiTheme="majorHAnsi" w:hAnsiTheme="majorHAnsi" w:cs="Times New Roman"/>
        </w:rPr>
        <w:t>well protected</w:t>
      </w:r>
      <w:proofErr w:type="spellEnd"/>
      <w:r w:rsidRPr="00D1625B">
        <w:rPr>
          <w:rFonts w:asciiTheme="majorHAnsi" w:hAnsiTheme="majorHAnsi" w:cs="Times New Roman"/>
        </w:rPr>
        <w:t xml:space="preserve"> construction project.</w:t>
      </w:r>
    </w:p>
    <w:p w14:paraId="7BB93290" w14:textId="54A0C095" w:rsidR="004B7E0E" w:rsidRPr="00D1625B" w:rsidRDefault="004B7E0E" w:rsidP="00D1625B">
      <w:pPr>
        <w:pStyle w:val="ListParagraph"/>
        <w:spacing w:after="0" w:line="240" w:lineRule="auto"/>
        <w:ind w:firstLine="720"/>
        <w:rPr>
          <w:rFonts w:asciiTheme="majorHAnsi" w:hAnsiTheme="majorHAnsi" w:cs="Times New Roman"/>
          <w:color w:val="000000"/>
        </w:rPr>
      </w:pPr>
      <w:r w:rsidRPr="00D1625B">
        <w:rPr>
          <w:rFonts w:asciiTheme="majorHAnsi" w:hAnsiTheme="majorHAnsi" w:cs="Times New Roman"/>
          <w:color w:val="000000"/>
        </w:rPr>
        <w:t>Moderator: </w:t>
      </w:r>
      <w:hyperlink r:id="rId7" w:history="1">
        <w:r w:rsidRPr="00D1625B">
          <w:rPr>
            <w:rFonts w:asciiTheme="majorHAnsi" w:hAnsiTheme="majorHAnsi" w:cs="Times New Roman"/>
            <w:color w:val="467886" w:themeColor="hyperlink"/>
            <w:u w:val="single"/>
          </w:rPr>
          <w:t>Gregory R. Faulkner, Partner, Robinson + Cole</w:t>
        </w:r>
      </w:hyperlink>
    </w:p>
    <w:p w14:paraId="0AD5B839" w14:textId="77777777" w:rsidR="004B7E0E" w:rsidRPr="00D1625B" w:rsidRDefault="004B7E0E" w:rsidP="004B7E0E">
      <w:pPr>
        <w:spacing w:after="0" w:line="240" w:lineRule="auto"/>
        <w:ind w:left="360"/>
        <w:rPr>
          <w:rFonts w:asciiTheme="majorHAnsi" w:hAnsiTheme="majorHAnsi" w:cs="Times New Roman"/>
        </w:rPr>
      </w:pPr>
    </w:p>
    <w:p w14:paraId="44092A90" w14:textId="70A18603" w:rsidR="004B7E0E" w:rsidRPr="00D1625B" w:rsidRDefault="004B7E0E" w:rsidP="00D1625B">
      <w:pPr>
        <w:pStyle w:val="ListParagraph"/>
        <w:spacing w:after="0" w:line="240" w:lineRule="auto"/>
        <w:ind w:firstLine="720"/>
        <w:rPr>
          <w:rFonts w:asciiTheme="majorHAnsi" w:hAnsiTheme="majorHAnsi" w:cs="Times New Roman"/>
        </w:rPr>
      </w:pPr>
      <w:r w:rsidRPr="00D1625B">
        <w:rPr>
          <w:rFonts w:asciiTheme="majorHAnsi" w:hAnsiTheme="majorHAnsi" w:cs="Times New Roman"/>
        </w:rPr>
        <w:t xml:space="preserve">Panelists:  </w:t>
      </w:r>
      <w:hyperlink r:id="rId8" w:history="1">
        <w:r w:rsidRPr="00D1625B">
          <w:rPr>
            <w:rFonts w:asciiTheme="majorHAnsi" w:hAnsiTheme="majorHAnsi" w:cs="Times New Roman"/>
            <w:color w:val="467886" w:themeColor="hyperlink"/>
            <w:u w:val="single"/>
          </w:rPr>
          <w:t>Paul Cicerchia</w:t>
        </w:r>
      </w:hyperlink>
      <w:r w:rsidRPr="00D1625B">
        <w:rPr>
          <w:rFonts w:asciiTheme="majorHAnsi" w:hAnsiTheme="majorHAnsi" w:cs="Times New Roman"/>
        </w:rPr>
        <w:t xml:space="preserve">, EVP/Real Estate Practice Leader, </w:t>
      </w:r>
      <w:hyperlink r:id="rId9" w:history="1">
        <w:r w:rsidRPr="00D1625B">
          <w:rPr>
            <w:rFonts w:asciiTheme="majorHAnsi" w:hAnsiTheme="majorHAnsi" w:cs="Times New Roman"/>
            <w:color w:val="467886" w:themeColor="hyperlink"/>
            <w:u w:val="single"/>
          </w:rPr>
          <w:t>McGriff</w:t>
        </w:r>
      </w:hyperlink>
    </w:p>
    <w:p w14:paraId="2EB2B792" w14:textId="5FEBD330" w:rsidR="004B7E0E" w:rsidRPr="00D1625B" w:rsidRDefault="00D1625B" w:rsidP="00D1625B">
      <w:pPr>
        <w:pStyle w:val="ListParagraph"/>
        <w:spacing w:after="0" w:line="240" w:lineRule="auto"/>
        <w:ind w:left="2160"/>
        <w:rPr>
          <w:rFonts w:asciiTheme="majorHAnsi" w:hAnsiTheme="majorHAnsi" w:cs="Times New Roman"/>
        </w:rPr>
      </w:pPr>
      <w:r>
        <w:rPr>
          <w:rFonts w:asciiTheme="majorHAnsi" w:hAnsiTheme="majorHAnsi"/>
        </w:rPr>
        <w:t xml:space="preserve">       </w:t>
      </w:r>
      <w:hyperlink r:id="rId10" w:history="1">
        <w:r w:rsidR="004B7E0E" w:rsidRPr="00D1625B">
          <w:rPr>
            <w:rFonts w:asciiTheme="majorHAnsi" w:hAnsiTheme="majorHAnsi" w:cs="Times New Roman"/>
            <w:color w:val="467886" w:themeColor="hyperlink"/>
            <w:u w:val="single"/>
          </w:rPr>
          <w:t>J. Eric Getty</w:t>
        </w:r>
      </w:hyperlink>
      <w:r w:rsidR="004B7E0E" w:rsidRPr="00D1625B">
        <w:rPr>
          <w:rFonts w:asciiTheme="majorHAnsi" w:hAnsiTheme="majorHAnsi" w:cs="Times New Roman"/>
        </w:rPr>
        <w:t xml:space="preserve">, SVP/Internal Construction Counsel, </w:t>
      </w:r>
      <w:hyperlink r:id="rId11" w:history="1">
        <w:r w:rsidR="004B7E0E" w:rsidRPr="00D1625B">
          <w:rPr>
            <w:rFonts w:asciiTheme="majorHAnsi" w:hAnsiTheme="majorHAnsi" w:cs="Times New Roman"/>
            <w:color w:val="467886" w:themeColor="hyperlink"/>
            <w:u w:val="single"/>
          </w:rPr>
          <w:t>McGriff</w:t>
        </w:r>
      </w:hyperlink>
    </w:p>
    <w:p w14:paraId="19392D0A" w14:textId="071A72A9" w:rsidR="004B7E0E" w:rsidRPr="00D1625B" w:rsidRDefault="00D1625B" w:rsidP="004B7E0E">
      <w:pPr>
        <w:pStyle w:val="ListParagraph"/>
        <w:spacing w:after="0" w:line="240" w:lineRule="auto"/>
        <w:ind w:left="2160"/>
        <w:rPr>
          <w:rFonts w:asciiTheme="majorHAnsi" w:hAnsiTheme="majorHAnsi" w:cs="Times New Roman"/>
        </w:rPr>
      </w:pPr>
      <w:r>
        <w:rPr>
          <w:rFonts w:asciiTheme="majorHAnsi" w:hAnsiTheme="majorHAnsi"/>
        </w:rPr>
        <w:t xml:space="preserve">       </w:t>
      </w:r>
      <w:hyperlink r:id="rId12" w:history="1">
        <w:r w:rsidR="004B7E0E" w:rsidRPr="00D1625B">
          <w:rPr>
            <w:rFonts w:asciiTheme="majorHAnsi" w:hAnsiTheme="majorHAnsi" w:cs="Times New Roman"/>
            <w:color w:val="467886" w:themeColor="hyperlink"/>
            <w:u w:val="single"/>
          </w:rPr>
          <w:t>Clint Provost</w:t>
        </w:r>
      </w:hyperlink>
      <w:r w:rsidR="004B7E0E" w:rsidRPr="00D1625B">
        <w:rPr>
          <w:rFonts w:asciiTheme="majorHAnsi" w:hAnsiTheme="majorHAnsi" w:cs="Times New Roman"/>
        </w:rPr>
        <w:t xml:space="preserve">, SVP/Construction Practice Leader, </w:t>
      </w:r>
      <w:hyperlink r:id="rId13" w:history="1">
        <w:r w:rsidR="004B7E0E" w:rsidRPr="00D1625B">
          <w:rPr>
            <w:rFonts w:asciiTheme="majorHAnsi" w:hAnsiTheme="majorHAnsi" w:cs="Times New Roman"/>
            <w:color w:val="467886" w:themeColor="hyperlink"/>
            <w:u w:val="single"/>
          </w:rPr>
          <w:t>McGriff</w:t>
        </w:r>
      </w:hyperlink>
    </w:p>
    <w:p w14:paraId="418199AC" w14:textId="73D680DC" w:rsidR="004B7E0E" w:rsidRPr="00D1625B" w:rsidRDefault="00D1625B" w:rsidP="004B7E0E">
      <w:pPr>
        <w:pStyle w:val="ListParagraph"/>
        <w:spacing w:after="0" w:line="240" w:lineRule="auto"/>
        <w:ind w:left="1440" w:firstLine="720"/>
        <w:rPr>
          <w:rFonts w:asciiTheme="majorHAnsi" w:hAnsiTheme="majorHAnsi" w:cs="Times New Roman"/>
        </w:rPr>
      </w:pPr>
      <w:r>
        <w:rPr>
          <w:rFonts w:asciiTheme="majorHAnsi" w:hAnsiTheme="majorHAnsi"/>
        </w:rPr>
        <w:t xml:space="preserve">       </w:t>
      </w:r>
      <w:hyperlink r:id="rId14" w:history="1">
        <w:r w:rsidR="004B7E0E" w:rsidRPr="00D1625B">
          <w:rPr>
            <w:rFonts w:asciiTheme="majorHAnsi" w:hAnsiTheme="majorHAnsi" w:cs="Times New Roman"/>
            <w:color w:val="467886" w:themeColor="hyperlink"/>
            <w:u w:val="single"/>
          </w:rPr>
          <w:t>Evan Aldrich</w:t>
        </w:r>
      </w:hyperlink>
      <w:r w:rsidR="004B7E0E" w:rsidRPr="00D1625B">
        <w:rPr>
          <w:rFonts w:asciiTheme="majorHAnsi" w:hAnsiTheme="majorHAnsi" w:cs="Times New Roman"/>
        </w:rPr>
        <w:t xml:space="preserve">, National Construction Practice Leader, </w:t>
      </w:r>
      <w:hyperlink r:id="rId15" w:history="1">
        <w:r w:rsidR="004B7E0E" w:rsidRPr="00D1625B">
          <w:rPr>
            <w:rFonts w:asciiTheme="majorHAnsi" w:hAnsiTheme="majorHAnsi" w:cs="Times New Roman"/>
            <w:color w:val="467886" w:themeColor="hyperlink"/>
            <w:u w:val="single"/>
          </w:rPr>
          <w:t>CRC</w:t>
        </w:r>
      </w:hyperlink>
    </w:p>
    <w:p w14:paraId="2A8511E6" w14:textId="77777777" w:rsidR="004B7E0E" w:rsidRPr="00D1625B" w:rsidRDefault="004B7E0E" w:rsidP="004B7E0E">
      <w:pPr>
        <w:pStyle w:val="ListParagraph"/>
        <w:spacing w:after="0" w:line="240" w:lineRule="auto"/>
        <w:rPr>
          <w:rFonts w:asciiTheme="majorHAnsi" w:hAnsiTheme="majorHAnsi" w:cs="Times New Roman"/>
          <w:i/>
          <w:iCs/>
        </w:rPr>
      </w:pPr>
    </w:p>
    <w:p w14:paraId="6E0142B6" w14:textId="6E7C23A7" w:rsidR="00C643B7" w:rsidRPr="00D1625B" w:rsidRDefault="00C643B7" w:rsidP="007262C3">
      <w:pPr>
        <w:pStyle w:val="ListParagraph"/>
        <w:numPr>
          <w:ilvl w:val="0"/>
          <w:numId w:val="1"/>
        </w:numPr>
        <w:spacing w:after="240" w:line="240" w:lineRule="auto"/>
        <w:contextualSpacing w:val="0"/>
        <w:rPr>
          <w:rFonts w:asciiTheme="majorHAnsi" w:hAnsiTheme="majorHAnsi" w:cs="Times New Roman"/>
        </w:rPr>
      </w:pPr>
      <w:r w:rsidRPr="00D1625B">
        <w:rPr>
          <w:rFonts w:asciiTheme="majorHAnsi" w:hAnsiTheme="majorHAnsi" w:cs="Times New Roman"/>
        </w:rPr>
        <w:t>Due Diligence Pitfalls: Title and Survey Review and Mitigation of Risks</w:t>
      </w:r>
    </w:p>
    <w:p w14:paraId="1DC3D61C" w14:textId="7E8B204F" w:rsidR="00A94617" w:rsidRPr="00D1625B" w:rsidRDefault="00A94617" w:rsidP="00A94617">
      <w:pPr>
        <w:spacing w:after="240" w:line="240" w:lineRule="auto"/>
        <w:ind w:left="1440"/>
        <w:rPr>
          <w:rFonts w:asciiTheme="majorHAnsi" w:hAnsiTheme="majorHAnsi" w:cs="Times New Roman"/>
        </w:rPr>
      </w:pPr>
      <w:r w:rsidRPr="00D1625B">
        <w:rPr>
          <w:rFonts w:asciiTheme="majorHAnsi" w:hAnsiTheme="majorHAnsi" w:cs="Times New Roman"/>
        </w:rPr>
        <w:t>Description:  During this session we will review the basics of title and survey diligence and key tools and resources for insuring against risk with a focus on risk mitigation through policy coverage.</w:t>
      </w:r>
    </w:p>
    <w:p w14:paraId="1BA09AE3" w14:textId="34E962EA" w:rsidR="00A94617" w:rsidRPr="00D1625B" w:rsidRDefault="00A94617" w:rsidP="00A94617">
      <w:pPr>
        <w:pStyle w:val="ListParagraph"/>
        <w:spacing w:after="0" w:line="240" w:lineRule="auto"/>
        <w:ind w:left="1440"/>
        <w:contextualSpacing w:val="0"/>
        <w:rPr>
          <w:rFonts w:asciiTheme="majorHAnsi" w:hAnsiTheme="majorHAnsi" w:cs="Times New Roman"/>
        </w:rPr>
      </w:pPr>
      <w:r w:rsidRPr="00D1625B">
        <w:rPr>
          <w:rFonts w:asciiTheme="majorHAnsi" w:hAnsiTheme="majorHAnsi" w:cs="Times New Roman"/>
        </w:rPr>
        <w:t>Presenter</w:t>
      </w:r>
      <w:r w:rsidR="00805C10" w:rsidRPr="00D1625B">
        <w:rPr>
          <w:rFonts w:asciiTheme="majorHAnsi" w:hAnsiTheme="majorHAnsi" w:cs="Times New Roman"/>
        </w:rPr>
        <w:t xml:space="preserve">: </w:t>
      </w:r>
      <w:r w:rsidRPr="00D1625B">
        <w:rPr>
          <w:rFonts w:asciiTheme="majorHAnsi" w:hAnsiTheme="majorHAnsi" w:cs="Times New Roman"/>
        </w:rPr>
        <w:t xml:space="preserve"> </w:t>
      </w:r>
      <w:hyperlink r:id="rId16" w:history="1">
        <w:r w:rsidRPr="00D1625B">
          <w:rPr>
            <w:rStyle w:val="Hyperlink"/>
            <w:rFonts w:asciiTheme="majorHAnsi" w:hAnsiTheme="majorHAnsi" w:cs="Times New Roman"/>
          </w:rPr>
          <w:t>Kathleen A. Keyser</w:t>
        </w:r>
      </w:hyperlink>
      <w:r w:rsidRPr="00D1625B">
        <w:rPr>
          <w:rFonts w:asciiTheme="majorHAnsi" w:hAnsiTheme="majorHAnsi" w:cs="Times New Roman"/>
        </w:rPr>
        <w:t xml:space="preserve">, Partner, </w:t>
      </w:r>
      <w:hyperlink r:id="rId17" w:history="1">
        <w:r w:rsidRPr="00D1625B">
          <w:rPr>
            <w:rStyle w:val="Hyperlink"/>
            <w:rFonts w:asciiTheme="majorHAnsi" w:hAnsiTheme="majorHAnsi" w:cs="Times New Roman"/>
          </w:rPr>
          <w:t>Morgan Lewis</w:t>
        </w:r>
      </w:hyperlink>
    </w:p>
    <w:p w14:paraId="0FE8FCB7" w14:textId="77777777" w:rsidR="004B7E0E" w:rsidRPr="00D1625B" w:rsidRDefault="004B7E0E" w:rsidP="00A94617">
      <w:pPr>
        <w:pStyle w:val="ListParagraph"/>
        <w:spacing w:after="0" w:line="240" w:lineRule="auto"/>
        <w:ind w:left="1440"/>
        <w:contextualSpacing w:val="0"/>
        <w:rPr>
          <w:rFonts w:asciiTheme="majorHAnsi" w:hAnsiTheme="majorHAnsi" w:cs="Times New Roman"/>
        </w:rPr>
      </w:pPr>
    </w:p>
    <w:p w14:paraId="6FC816E3" w14:textId="32EFF809" w:rsidR="00805C10" w:rsidRPr="00D1625B" w:rsidRDefault="004B7E0E" w:rsidP="00E041E4">
      <w:pPr>
        <w:pStyle w:val="ListParagraph"/>
        <w:spacing w:after="240" w:line="240" w:lineRule="auto"/>
        <w:ind w:left="1440"/>
        <w:contextualSpacing w:val="0"/>
        <w:rPr>
          <w:rFonts w:asciiTheme="majorHAnsi" w:hAnsiTheme="majorHAnsi" w:cs="Times New Roman"/>
        </w:rPr>
      </w:pPr>
      <w:r w:rsidRPr="00D1625B">
        <w:rPr>
          <w:rFonts w:asciiTheme="majorHAnsi" w:hAnsiTheme="majorHAnsi" w:cs="Times New Roman"/>
        </w:rPr>
        <w:t xml:space="preserve">Panelist: </w:t>
      </w:r>
      <w:hyperlink r:id="rId18" w:history="1">
        <w:r w:rsidR="00805C10" w:rsidRPr="00D1625B">
          <w:rPr>
            <w:rStyle w:val="Hyperlink"/>
            <w:rFonts w:asciiTheme="majorHAnsi" w:hAnsiTheme="majorHAnsi" w:cs="Times New Roman"/>
          </w:rPr>
          <w:t>Gerald J. Castro</w:t>
        </w:r>
      </w:hyperlink>
      <w:r w:rsidR="00805C10" w:rsidRPr="00D1625B">
        <w:rPr>
          <w:rFonts w:asciiTheme="majorHAnsi" w:hAnsiTheme="majorHAnsi" w:cs="Times New Roman"/>
        </w:rPr>
        <w:t xml:space="preserve">, </w:t>
      </w:r>
      <w:r w:rsidR="00A94617" w:rsidRPr="00D1625B">
        <w:rPr>
          <w:rFonts w:asciiTheme="majorHAnsi" w:hAnsiTheme="majorHAnsi" w:cs="Times New Roman"/>
        </w:rPr>
        <w:t xml:space="preserve">Vice President &amp; Regional Counsel, </w:t>
      </w:r>
      <w:hyperlink r:id="rId19" w:history="1">
        <w:r w:rsidR="00A94617" w:rsidRPr="00D1625B">
          <w:rPr>
            <w:rStyle w:val="Hyperlink"/>
            <w:rFonts w:asciiTheme="majorHAnsi" w:hAnsiTheme="majorHAnsi" w:cs="Times New Roman"/>
          </w:rPr>
          <w:t>Fidelity National Title Group</w:t>
        </w:r>
      </w:hyperlink>
    </w:p>
    <w:p w14:paraId="3E475522" w14:textId="5F1589F9" w:rsidR="00283AD6" w:rsidRPr="00283AD6" w:rsidRDefault="00283AD6" w:rsidP="00283AD6">
      <w:pPr>
        <w:pStyle w:val="ListParagraph"/>
        <w:numPr>
          <w:ilvl w:val="0"/>
          <w:numId w:val="1"/>
        </w:numPr>
        <w:spacing w:after="240" w:line="240" w:lineRule="auto"/>
        <w:contextualSpacing w:val="0"/>
        <w:rPr>
          <w:rFonts w:asciiTheme="majorHAnsi" w:hAnsiTheme="majorHAnsi" w:cs="Times New Roman"/>
        </w:rPr>
      </w:pPr>
      <w:r w:rsidRPr="00283AD6">
        <w:rPr>
          <w:rFonts w:asciiTheme="majorHAnsi" w:hAnsiTheme="majorHAnsi"/>
        </w:rPr>
        <w:lastRenderedPageBreak/>
        <w:t>The Art and Science of Student Housing P3s: Our Students and Other People's Money</w:t>
      </w:r>
    </w:p>
    <w:p w14:paraId="0FFFFB95" w14:textId="2FD93E0F" w:rsidR="003B5F14" w:rsidRPr="00D1625B" w:rsidRDefault="003B5F14" w:rsidP="003B5F14">
      <w:pPr>
        <w:spacing w:after="240" w:line="240" w:lineRule="auto"/>
        <w:ind w:left="1440"/>
        <w:rPr>
          <w:rFonts w:asciiTheme="majorHAnsi" w:hAnsiTheme="majorHAnsi" w:cs="Times New Roman"/>
        </w:rPr>
      </w:pPr>
      <w:r w:rsidRPr="00D1625B">
        <w:rPr>
          <w:rFonts w:asciiTheme="majorHAnsi" w:hAnsiTheme="majorHAnsi" w:cs="Times New Roman"/>
        </w:rPr>
        <w:t xml:space="preserve">Description:  </w:t>
      </w:r>
      <w:r w:rsidR="003859B9" w:rsidRPr="003859B9">
        <w:rPr>
          <w:rFonts w:asciiTheme="majorHAnsi" w:hAnsiTheme="majorHAnsi" w:cs="Times New Roman"/>
        </w:rPr>
        <w:t>The market and interest surrounding privatized student housing continue to grow and evolve across the country.   This panel will attempt to provide an analytical framework and discipline for the decision-making, negotiations and transactional process associated with executing a student housing public-private partnership.  The presentation will survey the most common transaction structures and provide a deeper investigation of the key legal points, risks and considerations in implementing these projects.   The objective of this presentation is to share practical knowledge and tools to help support the critical role of the University’s counsel in these projects.</w:t>
      </w:r>
    </w:p>
    <w:p w14:paraId="3C3D8A54" w14:textId="6FC53915" w:rsidR="00CA65C0" w:rsidRDefault="00CA65C0" w:rsidP="00CA65C0">
      <w:pPr>
        <w:pStyle w:val="ListParagraph"/>
        <w:spacing w:after="0" w:line="240" w:lineRule="auto"/>
        <w:ind w:left="1440"/>
        <w:contextualSpacing w:val="0"/>
        <w:rPr>
          <w:rFonts w:asciiTheme="majorHAnsi" w:hAnsiTheme="majorHAnsi" w:cs="Times New Roman"/>
        </w:rPr>
      </w:pPr>
      <w:r w:rsidRPr="00D1625B">
        <w:rPr>
          <w:rFonts w:asciiTheme="majorHAnsi" w:hAnsiTheme="majorHAnsi" w:cs="Times New Roman"/>
        </w:rPr>
        <w:t xml:space="preserve">Moderator:  </w:t>
      </w:r>
      <w:hyperlink r:id="rId20" w:history="1">
        <w:r w:rsidRPr="00D1625B">
          <w:rPr>
            <w:rStyle w:val="Hyperlink"/>
            <w:rFonts w:asciiTheme="majorHAnsi" w:hAnsiTheme="majorHAnsi" w:cs="Times New Roman"/>
          </w:rPr>
          <w:t>Dan Piper,</w:t>
        </w:r>
      </w:hyperlink>
      <w:r w:rsidRPr="00D1625B">
        <w:rPr>
          <w:rFonts w:asciiTheme="majorHAnsi" w:hAnsiTheme="majorHAnsi" w:cs="Times New Roman"/>
        </w:rPr>
        <w:t xml:space="preserve"> </w:t>
      </w:r>
      <w:r w:rsidR="00E041E4" w:rsidRPr="00D1625B">
        <w:rPr>
          <w:rFonts w:asciiTheme="majorHAnsi" w:hAnsiTheme="majorHAnsi" w:cs="Times New Roman"/>
        </w:rPr>
        <w:t>Senior Associate General Counsel</w:t>
      </w:r>
      <w:r w:rsidRPr="00D1625B">
        <w:rPr>
          <w:rFonts w:asciiTheme="majorHAnsi" w:hAnsiTheme="majorHAnsi" w:cs="Times New Roman"/>
        </w:rPr>
        <w:t xml:space="preserve">, </w:t>
      </w:r>
      <w:r w:rsidR="00E041E4" w:rsidRPr="00D1625B">
        <w:rPr>
          <w:rFonts w:asciiTheme="majorHAnsi" w:hAnsiTheme="majorHAnsi" w:cs="Times New Roman"/>
        </w:rPr>
        <w:t>University of Minnesota</w:t>
      </w:r>
    </w:p>
    <w:p w14:paraId="6F2EE8D4" w14:textId="77777777" w:rsidR="00D1625B" w:rsidRPr="00D1625B" w:rsidRDefault="00D1625B" w:rsidP="00CA65C0">
      <w:pPr>
        <w:pStyle w:val="ListParagraph"/>
        <w:spacing w:after="0" w:line="240" w:lineRule="auto"/>
        <w:ind w:left="1440"/>
        <w:contextualSpacing w:val="0"/>
        <w:rPr>
          <w:rFonts w:asciiTheme="majorHAnsi" w:hAnsiTheme="majorHAnsi" w:cs="Times New Roman"/>
        </w:rPr>
      </w:pPr>
    </w:p>
    <w:p w14:paraId="1FF08E9C" w14:textId="75A6FCBB" w:rsidR="00CA65C0" w:rsidRPr="00D1625B" w:rsidRDefault="00CA65C0" w:rsidP="00CA65C0">
      <w:pPr>
        <w:pStyle w:val="ListParagraph"/>
        <w:spacing w:after="240" w:line="240" w:lineRule="auto"/>
        <w:ind w:left="1440"/>
        <w:rPr>
          <w:rFonts w:asciiTheme="majorHAnsi" w:hAnsiTheme="majorHAnsi" w:cs="Times New Roman"/>
        </w:rPr>
      </w:pPr>
      <w:r w:rsidRPr="00D1625B">
        <w:rPr>
          <w:rFonts w:asciiTheme="majorHAnsi" w:hAnsiTheme="majorHAnsi" w:cs="Times New Roman"/>
        </w:rPr>
        <w:t>Panelists:</w:t>
      </w:r>
      <w:r w:rsidR="00D1625B">
        <w:rPr>
          <w:rFonts w:asciiTheme="majorHAnsi" w:hAnsiTheme="majorHAnsi" w:cs="Times New Roman"/>
        </w:rPr>
        <w:t xml:space="preserve"> </w:t>
      </w:r>
      <w:r w:rsidRPr="00D1625B">
        <w:rPr>
          <w:rFonts w:asciiTheme="majorHAnsi" w:hAnsiTheme="majorHAnsi" w:cs="Times New Roman"/>
        </w:rPr>
        <w:t xml:space="preserve"> </w:t>
      </w:r>
      <w:hyperlink r:id="rId21" w:history="1">
        <w:r w:rsidRPr="00D1625B">
          <w:rPr>
            <w:rStyle w:val="Hyperlink"/>
            <w:rFonts w:asciiTheme="majorHAnsi" w:hAnsiTheme="majorHAnsi" w:cs="Times New Roman"/>
          </w:rPr>
          <w:t xml:space="preserve">Karl </w:t>
        </w:r>
        <w:r w:rsidR="00D1625B" w:rsidRPr="00D1625B">
          <w:rPr>
            <w:rStyle w:val="Hyperlink"/>
            <w:rFonts w:asciiTheme="majorHAnsi" w:hAnsiTheme="majorHAnsi" w:cs="Times New Roman"/>
          </w:rPr>
          <w:t xml:space="preserve">D. </w:t>
        </w:r>
        <w:r w:rsidRPr="00D1625B">
          <w:rPr>
            <w:rStyle w:val="Hyperlink"/>
            <w:rFonts w:asciiTheme="majorHAnsi" w:hAnsiTheme="majorHAnsi" w:cs="Times New Roman"/>
          </w:rPr>
          <w:t>Camillucci</w:t>
        </w:r>
      </w:hyperlink>
      <w:r w:rsidRPr="00D1625B">
        <w:rPr>
          <w:rFonts w:asciiTheme="majorHAnsi" w:hAnsiTheme="majorHAnsi" w:cs="Times New Roman"/>
        </w:rPr>
        <w:t xml:space="preserve">, Partner </w:t>
      </w:r>
      <w:hyperlink r:id="rId22" w:history="1">
        <w:r w:rsidRPr="00D1625B">
          <w:rPr>
            <w:rStyle w:val="Hyperlink"/>
            <w:rFonts w:asciiTheme="majorHAnsi" w:hAnsiTheme="majorHAnsi" w:cs="Times New Roman"/>
          </w:rPr>
          <w:t xml:space="preserve">Taft </w:t>
        </w:r>
      </w:hyperlink>
    </w:p>
    <w:p w14:paraId="6A9BC532" w14:textId="223A8B8B" w:rsidR="00CA65C0" w:rsidRPr="00D1625B" w:rsidRDefault="00D1625B" w:rsidP="00D1625B">
      <w:pPr>
        <w:pStyle w:val="ListParagraph"/>
        <w:spacing w:after="240" w:line="240" w:lineRule="auto"/>
        <w:ind w:left="1440" w:firstLine="720"/>
        <w:contextualSpacing w:val="0"/>
        <w:rPr>
          <w:rFonts w:asciiTheme="majorHAnsi" w:hAnsiTheme="majorHAnsi" w:cs="Times New Roman"/>
        </w:rPr>
      </w:pPr>
      <w:r>
        <w:rPr>
          <w:rFonts w:asciiTheme="majorHAnsi" w:hAnsiTheme="majorHAnsi" w:cs="Times New Roman"/>
        </w:rPr>
        <w:t xml:space="preserve">       </w:t>
      </w:r>
      <w:hyperlink r:id="rId23" w:history="1">
        <w:r w:rsidR="00CA65C0" w:rsidRPr="00D1625B">
          <w:rPr>
            <w:rStyle w:val="Hyperlink"/>
            <w:rFonts w:asciiTheme="majorHAnsi" w:hAnsiTheme="majorHAnsi" w:cs="Times New Roman"/>
          </w:rPr>
          <w:t>Scott Abrams</w:t>
        </w:r>
      </w:hyperlink>
      <w:r w:rsidR="00CA65C0" w:rsidRPr="00D1625B">
        <w:rPr>
          <w:rFonts w:asciiTheme="majorHAnsi" w:hAnsiTheme="majorHAnsi" w:cs="Times New Roman"/>
        </w:rPr>
        <w:t xml:space="preserve">, </w:t>
      </w:r>
      <w:r w:rsidR="00E041E4" w:rsidRPr="00D1625B">
        <w:rPr>
          <w:rFonts w:asciiTheme="majorHAnsi" w:hAnsiTheme="majorHAnsi" w:cs="Times New Roman"/>
        </w:rPr>
        <w:t xml:space="preserve">Senior Principal </w:t>
      </w:r>
      <w:r w:rsidR="00CA65C0" w:rsidRPr="00D1625B">
        <w:rPr>
          <w:rFonts w:asciiTheme="majorHAnsi" w:hAnsiTheme="majorHAnsi" w:cs="Times New Roman"/>
        </w:rPr>
        <w:t xml:space="preserve">Counsel, </w:t>
      </w:r>
      <w:r w:rsidR="00E041E4" w:rsidRPr="00D1625B">
        <w:rPr>
          <w:rFonts w:asciiTheme="majorHAnsi" w:hAnsiTheme="majorHAnsi" w:cs="Times New Roman"/>
        </w:rPr>
        <w:t xml:space="preserve">Real Estate, </w:t>
      </w:r>
      <w:r w:rsidR="00CA65C0" w:rsidRPr="00D1625B">
        <w:rPr>
          <w:rFonts w:asciiTheme="majorHAnsi" w:hAnsiTheme="majorHAnsi" w:cs="Times New Roman"/>
        </w:rPr>
        <w:t xml:space="preserve">University of California </w:t>
      </w:r>
    </w:p>
    <w:p w14:paraId="0755C493" w14:textId="6634E801" w:rsidR="00A35C0D" w:rsidRPr="00D1625B" w:rsidRDefault="0037149E" w:rsidP="0037149E">
      <w:pPr>
        <w:pStyle w:val="ListParagraph"/>
        <w:numPr>
          <w:ilvl w:val="0"/>
          <w:numId w:val="1"/>
        </w:numPr>
        <w:spacing w:after="240" w:line="240" w:lineRule="auto"/>
        <w:contextualSpacing w:val="0"/>
        <w:rPr>
          <w:rFonts w:asciiTheme="majorHAnsi" w:hAnsiTheme="majorHAnsi" w:cs="Times New Roman"/>
        </w:rPr>
      </w:pPr>
      <w:r w:rsidRPr="00D1625B">
        <w:rPr>
          <w:rFonts w:asciiTheme="majorHAnsi" w:hAnsiTheme="majorHAnsi"/>
        </w:rPr>
        <w:t xml:space="preserve">Leases of </w:t>
      </w:r>
      <w:r w:rsidR="00A30225" w:rsidRPr="00D1625B">
        <w:rPr>
          <w:rFonts w:asciiTheme="majorHAnsi" w:hAnsiTheme="majorHAnsi"/>
        </w:rPr>
        <w:t>C</w:t>
      </w:r>
      <w:r w:rsidRPr="00D1625B">
        <w:rPr>
          <w:rFonts w:asciiTheme="majorHAnsi" w:hAnsiTheme="majorHAnsi"/>
        </w:rPr>
        <w:t xml:space="preserve">linical </w:t>
      </w:r>
      <w:r w:rsidR="00A30225" w:rsidRPr="00D1625B">
        <w:rPr>
          <w:rFonts w:asciiTheme="majorHAnsi" w:hAnsiTheme="majorHAnsi"/>
        </w:rPr>
        <w:t>S</w:t>
      </w:r>
      <w:r w:rsidRPr="00D1625B">
        <w:rPr>
          <w:rFonts w:asciiTheme="majorHAnsi" w:hAnsiTheme="majorHAnsi"/>
        </w:rPr>
        <w:t xml:space="preserve">pace: </w:t>
      </w:r>
      <w:r w:rsidR="00A30225" w:rsidRPr="00D1625B">
        <w:rPr>
          <w:rFonts w:asciiTheme="majorHAnsi" w:hAnsiTheme="majorHAnsi"/>
        </w:rPr>
        <w:t>S</w:t>
      </w:r>
      <w:r w:rsidRPr="00D1625B">
        <w:rPr>
          <w:rFonts w:asciiTheme="majorHAnsi" w:hAnsiTheme="majorHAnsi"/>
        </w:rPr>
        <w:t xml:space="preserve">pecial </w:t>
      </w:r>
      <w:r w:rsidR="00A30225" w:rsidRPr="00D1625B">
        <w:rPr>
          <w:rFonts w:asciiTheme="majorHAnsi" w:hAnsiTheme="majorHAnsi"/>
        </w:rPr>
        <w:t>C</w:t>
      </w:r>
      <w:r w:rsidRPr="00D1625B">
        <w:rPr>
          <w:rFonts w:asciiTheme="majorHAnsi" w:hAnsiTheme="majorHAnsi"/>
        </w:rPr>
        <w:t xml:space="preserve">onsiderations </w:t>
      </w:r>
      <w:proofErr w:type="gramStart"/>
      <w:r w:rsidRPr="00D1625B">
        <w:rPr>
          <w:rFonts w:asciiTheme="majorHAnsi" w:hAnsiTheme="majorHAnsi"/>
        </w:rPr>
        <w:t xml:space="preserve">in </w:t>
      </w:r>
      <w:r w:rsidR="00A30225" w:rsidRPr="00D1625B">
        <w:rPr>
          <w:rFonts w:asciiTheme="majorHAnsi" w:hAnsiTheme="majorHAnsi"/>
        </w:rPr>
        <w:t>L</w:t>
      </w:r>
      <w:r w:rsidRPr="00D1625B">
        <w:rPr>
          <w:rFonts w:asciiTheme="majorHAnsi" w:hAnsiTheme="majorHAnsi"/>
        </w:rPr>
        <w:t>ight of</w:t>
      </w:r>
      <w:proofErr w:type="gramEnd"/>
      <w:r w:rsidRPr="00D1625B">
        <w:rPr>
          <w:rFonts w:asciiTheme="majorHAnsi" w:hAnsiTheme="majorHAnsi"/>
        </w:rPr>
        <w:t xml:space="preserve"> Stark, Anti-Kickback and Medicare</w:t>
      </w:r>
      <w:r w:rsidR="00B55941" w:rsidRPr="00D1625B">
        <w:rPr>
          <w:rFonts w:asciiTheme="majorHAnsi" w:hAnsiTheme="majorHAnsi"/>
        </w:rPr>
        <w:t>.</w:t>
      </w:r>
    </w:p>
    <w:p w14:paraId="25FBB9D5" w14:textId="40E3AC45" w:rsidR="00157FE5" w:rsidRPr="00D1625B" w:rsidRDefault="00157FE5" w:rsidP="0037149E">
      <w:pPr>
        <w:spacing w:after="240" w:line="240" w:lineRule="auto"/>
        <w:ind w:left="1440"/>
        <w:rPr>
          <w:rFonts w:asciiTheme="majorHAnsi" w:hAnsiTheme="majorHAnsi" w:cs="Times New Roman"/>
        </w:rPr>
      </w:pPr>
      <w:r w:rsidRPr="00D1625B">
        <w:rPr>
          <w:rFonts w:asciiTheme="majorHAnsi" w:hAnsiTheme="majorHAnsi" w:cs="Times New Roman"/>
        </w:rPr>
        <w:t xml:space="preserve">Description:  </w:t>
      </w:r>
      <w:r w:rsidR="0043251E" w:rsidRPr="00D1625B">
        <w:rPr>
          <w:rFonts w:asciiTheme="majorHAnsi" w:hAnsiTheme="majorHAnsi" w:cs="Times New Roman"/>
        </w:rPr>
        <w:t>This session will review the special regulatory issues that arise in leasing clinical spaces and how the structure of academic medical centers can affect how real estate lawyers approach leases.  The focus will be on determining when these laws are implicated, how to structure leases, subleases and other real estate transactions in compliance with these laws, and special documentation requirements as well as payment considerations.</w:t>
      </w:r>
    </w:p>
    <w:p w14:paraId="26244CF0" w14:textId="57B64188" w:rsidR="0037149E" w:rsidRPr="00D1625B" w:rsidRDefault="0037149E" w:rsidP="0037149E">
      <w:pPr>
        <w:spacing w:after="240" w:line="240" w:lineRule="auto"/>
        <w:ind w:left="1440"/>
        <w:rPr>
          <w:rFonts w:asciiTheme="majorHAnsi" w:hAnsiTheme="majorHAnsi" w:cs="Times New Roman"/>
        </w:rPr>
      </w:pPr>
      <w:r w:rsidRPr="00D1625B">
        <w:rPr>
          <w:rFonts w:asciiTheme="majorHAnsi" w:hAnsiTheme="majorHAnsi" w:cs="Times New Roman"/>
        </w:rPr>
        <w:t xml:space="preserve">Presenter:  </w:t>
      </w:r>
      <w:hyperlink r:id="rId24" w:history="1">
        <w:r w:rsidRPr="00D1625B">
          <w:rPr>
            <w:rStyle w:val="Hyperlink"/>
            <w:rFonts w:asciiTheme="majorHAnsi" w:hAnsiTheme="majorHAnsi" w:cs="Times New Roman"/>
          </w:rPr>
          <w:t>Scott McBride</w:t>
        </w:r>
      </w:hyperlink>
      <w:r w:rsidRPr="00D1625B">
        <w:rPr>
          <w:rFonts w:asciiTheme="majorHAnsi" w:hAnsiTheme="majorHAnsi" w:cs="Times New Roman"/>
        </w:rPr>
        <w:t xml:space="preserve">, Partner, </w:t>
      </w:r>
      <w:hyperlink r:id="rId25" w:history="1">
        <w:r w:rsidRPr="00D1625B">
          <w:rPr>
            <w:rStyle w:val="Hyperlink"/>
            <w:rFonts w:asciiTheme="majorHAnsi" w:hAnsiTheme="majorHAnsi" w:cs="Times New Roman"/>
          </w:rPr>
          <w:t>Morgan Lewis</w:t>
        </w:r>
      </w:hyperlink>
    </w:p>
    <w:p w14:paraId="1E714B44" w14:textId="179A0710" w:rsidR="006D29BC" w:rsidRPr="00D1625B" w:rsidRDefault="006D29BC" w:rsidP="007262C3">
      <w:pPr>
        <w:pStyle w:val="ListParagraph"/>
        <w:numPr>
          <w:ilvl w:val="0"/>
          <w:numId w:val="1"/>
        </w:numPr>
        <w:spacing w:after="240" w:line="240" w:lineRule="auto"/>
        <w:contextualSpacing w:val="0"/>
        <w:rPr>
          <w:rFonts w:asciiTheme="majorHAnsi" w:hAnsiTheme="majorHAnsi" w:cs="Times New Roman"/>
        </w:rPr>
      </w:pPr>
      <w:r w:rsidRPr="00D1625B">
        <w:rPr>
          <w:rFonts w:asciiTheme="majorHAnsi" w:hAnsiTheme="majorHAnsi" w:cs="Times New Roman"/>
        </w:rPr>
        <w:t>UNLV Case Study and Walking Tour</w:t>
      </w:r>
    </w:p>
    <w:p w14:paraId="06EAE750" w14:textId="3B581C8A" w:rsidR="003B5F14" w:rsidRPr="00D1625B" w:rsidRDefault="003B5F14" w:rsidP="003B5F14">
      <w:pPr>
        <w:spacing w:after="240" w:line="240" w:lineRule="auto"/>
        <w:ind w:left="1440"/>
        <w:rPr>
          <w:rFonts w:asciiTheme="majorHAnsi" w:hAnsiTheme="majorHAnsi" w:cs="Times New Roman"/>
        </w:rPr>
      </w:pPr>
      <w:r w:rsidRPr="00D1625B">
        <w:rPr>
          <w:rFonts w:asciiTheme="majorHAnsi" w:hAnsiTheme="majorHAnsi" w:cs="Times New Roman"/>
        </w:rPr>
        <w:t>Description:  As is tradition for HEREL conferences, the host institution will present a case study about</w:t>
      </w:r>
      <w:r w:rsidR="00A30225" w:rsidRPr="00D1625B">
        <w:rPr>
          <w:rFonts w:asciiTheme="majorHAnsi" w:hAnsiTheme="majorHAnsi" w:cs="Times New Roman"/>
        </w:rPr>
        <w:t xml:space="preserve"> a recent project.  </w:t>
      </w:r>
      <w:r w:rsidR="007E09BD">
        <w:rPr>
          <w:rFonts w:asciiTheme="majorHAnsi" w:hAnsiTheme="majorHAnsi" w:cs="Times New Roman"/>
        </w:rPr>
        <w:t xml:space="preserve">Details to be announced soon! </w:t>
      </w:r>
    </w:p>
    <w:p w14:paraId="3D69A7A9" w14:textId="5E64438D" w:rsidR="0043251E" w:rsidRPr="00D1625B" w:rsidRDefault="0043251E" w:rsidP="003B5F14">
      <w:pPr>
        <w:spacing w:after="240" w:line="240" w:lineRule="auto"/>
        <w:ind w:left="1440"/>
        <w:rPr>
          <w:rFonts w:asciiTheme="majorHAnsi" w:hAnsiTheme="majorHAnsi" w:cs="Times New Roman"/>
        </w:rPr>
      </w:pPr>
      <w:r w:rsidRPr="00D1625B">
        <w:rPr>
          <w:rFonts w:asciiTheme="majorHAnsi" w:hAnsiTheme="majorHAnsi" w:cs="Times New Roman"/>
        </w:rPr>
        <w:t xml:space="preserve">Presenters:  UNLV Staff.  </w:t>
      </w:r>
    </w:p>
    <w:p w14:paraId="6630823D" w14:textId="6063DCAA" w:rsidR="00C643B7" w:rsidRPr="007E09BD" w:rsidRDefault="007262C3" w:rsidP="007262C3">
      <w:pPr>
        <w:spacing w:after="240" w:line="240" w:lineRule="auto"/>
        <w:ind w:left="720" w:hanging="720"/>
        <w:rPr>
          <w:rFonts w:asciiTheme="majorHAnsi" w:hAnsiTheme="majorHAnsi"/>
          <w:b/>
          <w:bCs/>
        </w:rPr>
      </w:pPr>
      <w:r w:rsidRPr="007E09BD">
        <w:rPr>
          <w:rFonts w:asciiTheme="majorHAnsi" w:hAnsiTheme="majorHAnsi"/>
          <w:b/>
          <w:bCs/>
        </w:rPr>
        <w:t>Plus:</w:t>
      </w:r>
    </w:p>
    <w:p w14:paraId="368EF7BC" w14:textId="154862B3" w:rsidR="00C643B7" w:rsidRPr="00D1625B" w:rsidRDefault="00C643B7" w:rsidP="007262C3">
      <w:pPr>
        <w:tabs>
          <w:tab w:val="left" w:pos="2160"/>
        </w:tabs>
        <w:spacing w:after="240" w:line="240" w:lineRule="auto"/>
        <w:jc w:val="both"/>
        <w:rPr>
          <w:rFonts w:asciiTheme="majorHAnsi" w:hAnsiTheme="majorHAnsi" w:cs="Times New Roman"/>
        </w:rPr>
      </w:pPr>
      <w:r w:rsidRPr="00D1625B">
        <w:rPr>
          <w:rFonts w:asciiTheme="majorHAnsi" w:hAnsiTheme="majorHAnsi"/>
        </w:rPr>
        <w:t xml:space="preserve">Wednesday evening happy hour </w:t>
      </w:r>
    </w:p>
    <w:p w14:paraId="30B0B8D1" w14:textId="7C67AEA2" w:rsidR="008F2BB7" w:rsidRPr="00D1625B" w:rsidRDefault="006D29BC" w:rsidP="007262C3">
      <w:pPr>
        <w:spacing w:after="240" w:line="240" w:lineRule="auto"/>
        <w:rPr>
          <w:rFonts w:asciiTheme="majorHAnsi" w:hAnsiTheme="majorHAnsi"/>
        </w:rPr>
      </w:pPr>
      <w:r w:rsidRPr="00D1625B">
        <w:rPr>
          <w:rFonts w:asciiTheme="majorHAnsi" w:hAnsiTheme="majorHAnsi"/>
        </w:rPr>
        <w:t>Thursday evening HEREL Dinner</w:t>
      </w:r>
    </w:p>
    <w:p w14:paraId="5CC251BF" w14:textId="26F3203A" w:rsidR="002D6D88" w:rsidRPr="00D1625B" w:rsidRDefault="008F2BB7" w:rsidP="007262C3">
      <w:pPr>
        <w:spacing w:after="240" w:line="240" w:lineRule="auto"/>
        <w:rPr>
          <w:rFonts w:asciiTheme="majorHAnsi" w:hAnsiTheme="majorHAnsi"/>
          <w:vertAlign w:val="superscript"/>
        </w:rPr>
      </w:pPr>
      <w:r w:rsidRPr="00D1625B">
        <w:rPr>
          <w:rFonts w:asciiTheme="majorHAnsi" w:hAnsiTheme="majorHAnsi"/>
        </w:rPr>
        <w:t xml:space="preserve">Sessions </w:t>
      </w:r>
      <w:r w:rsidR="00A35C0D" w:rsidRPr="00D1625B">
        <w:rPr>
          <w:rFonts w:asciiTheme="majorHAnsi" w:hAnsiTheme="majorHAnsi"/>
        </w:rPr>
        <w:t xml:space="preserve">begin Thursday morning, </w:t>
      </w:r>
      <w:r w:rsidRPr="00D1625B">
        <w:rPr>
          <w:rFonts w:asciiTheme="majorHAnsi" w:hAnsiTheme="majorHAnsi"/>
        </w:rPr>
        <w:t xml:space="preserve">November </w:t>
      </w:r>
      <w:r w:rsidR="00A35C0D" w:rsidRPr="00D1625B">
        <w:rPr>
          <w:rFonts w:asciiTheme="majorHAnsi" w:hAnsiTheme="majorHAnsi"/>
        </w:rPr>
        <w:t xml:space="preserve">5th, </w:t>
      </w:r>
      <w:r w:rsidRPr="00D1625B">
        <w:rPr>
          <w:rFonts w:asciiTheme="majorHAnsi" w:hAnsiTheme="majorHAnsi"/>
        </w:rPr>
        <w:t xml:space="preserve">and run through mid-afternoon, Friday, </w:t>
      </w:r>
      <w:r w:rsidR="006D29BC" w:rsidRPr="00D1625B">
        <w:rPr>
          <w:rFonts w:asciiTheme="majorHAnsi" w:hAnsiTheme="majorHAnsi"/>
        </w:rPr>
        <w:t xml:space="preserve">November </w:t>
      </w:r>
      <w:r w:rsidRPr="00D1625B">
        <w:rPr>
          <w:rFonts w:asciiTheme="majorHAnsi" w:hAnsiTheme="majorHAnsi"/>
        </w:rPr>
        <w:t xml:space="preserve">6th. The registration fee </w:t>
      </w:r>
      <w:r w:rsidR="006D29BC" w:rsidRPr="00D1625B">
        <w:rPr>
          <w:rFonts w:asciiTheme="majorHAnsi" w:hAnsiTheme="majorHAnsi"/>
        </w:rPr>
        <w:t>is</w:t>
      </w:r>
      <w:r w:rsidRPr="00D1625B">
        <w:rPr>
          <w:rFonts w:asciiTheme="majorHAnsi" w:hAnsiTheme="majorHAnsi"/>
        </w:rPr>
        <w:t xml:space="preserve"> $4</w:t>
      </w:r>
      <w:r w:rsidR="006D29BC" w:rsidRPr="00D1625B">
        <w:rPr>
          <w:rFonts w:asciiTheme="majorHAnsi" w:hAnsiTheme="majorHAnsi"/>
        </w:rPr>
        <w:t>50 and i</w:t>
      </w:r>
      <w:r w:rsidRPr="00D1625B">
        <w:rPr>
          <w:rFonts w:asciiTheme="majorHAnsi" w:hAnsiTheme="majorHAnsi"/>
        </w:rPr>
        <w:t xml:space="preserve">ncludes all meals during the conference </w:t>
      </w:r>
      <w:r w:rsidR="006D29BC" w:rsidRPr="00D1625B">
        <w:rPr>
          <w:rFonts w:asciiTheme="majorHAnsi" w:hAnsiTheme="majorHAnsi"/>
        </w:rPr>
        <w:t xml:space="preserve">on Thursday and Friday </w:t>
      </w:r>
      <w:r w:rsidRPr="00D1625B">
        <w:rPr>
          <w:rFonts w:asciiTheme="majorHAnsi" w:hAnsiTheme="majorHAnsi"/>
        </w:rPr>
        <w:t xml:space="preserve">as well as </w:t>
      </w:r>
      <w:r w:rsidR="00A35C0D" w:rsidRPr="00D1625B">
        <w:rPr>
          <w:rFonts w:asciiTheme="majorHAnsi" w:hAnsiTheme="majorHAnsi"/>
        </w:rPr>
        <w:t xml:space="preserve">conference </w:t>
      </w:r>
      <w:r w:rsidRPr="00D1625B">
        <w:rPr>
          <w:rFonts w:asciiTheme="majorHAnsi" w:hAnsiTheme="majorHAnsi"/>
        </w:rPr>
        <w:t>materials. A detailed conference agenda</w:t>
      </w:r>
      <w:r w:rsidR="006D29BC" w:rsidRPr="00D1625B">
        <w:rPr>
          <w:rFonts w:asciiTheme="majorHAnsi" w:hAnsiTheme="majorHAnsi"/>
        </w:rPr>
        <w:t xml:space="preserve"> with times and session descriptions</w:t>
      </w:r>
      <w:r w:rsidRPr="00D1625B">
        <w:rPr>
          <w:rFonts w:asciiTheme="majorHAnsi" w:hAnsiTheme="majorHAnsi"/>
        </w:rPr>
        <w:t xml:space="preserve"> </w:t>
      </w:r>
      <w:r w:rsidR="006D29BC" w:rsidRPr="00D1625B">
        <w:rPr>
          <w:rFonts w:asciiTheme="majorHAnsi" w:hAnsiTheme="majorHAnsi"/>
        </w:rPr>
        <w:t xml:space="preserve">will be posted on the </w:t>
      </w:r>
      <w:hyperlink r:id="rId26" w:history="1">
        <w:r w:rsidR="00B55941" w:rsidRPr="00D1625B">
          <w:rPr>
            <w:rStyle w:val="Hyperlink"/>
            <w:rFonts w:asciiTheme="majorHAnsi" w:hAnsiTheme="majorHAnsi"/>
          </w:rPr>
          <w:t xml:space="preserve">HEREL </w:t>
        </w:r>
        <w:r w:rsidR="006D29BC" w:rsidRPr="00D1625B">
          <w:rPr>
            <w:rStyle w:val="Hyperlink"/>
            <w:rFonts w:asciiTheme="majorHAnsi" w:hAnsiTheme="majorHAnsi"/>
          </w:rPr>
          <w:t>website</w:t>
        </w:r>
      </w:hyperlink>
      <w:r w:rsidR="006D29BC" w:rsidRPr="00D1625B">
        <w:rPr>
          <w:rFonts w:asciiTheme="majorHAnsi" w:hAnsiTheme="majorHAnsi"/>
        </w:rPr>
        <w:t xml:space="preserve"> in July.</w:t>
      </w:r>
    </w:p>
    <w:sectPr w:rsidR="002D6D88" w:rsidRPr="00D1625B" w:rsidSect="007262C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864DD"/>
    <w:multiLevelType w:val="hybridMultilevel"/>
    <w:tmpl w:val="8A24F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26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B7"/>
    <w:rsid w:val="00157FE5"/>
    <w:rsid w:val="00255A96"/>
    <w:rsid w:val="00283AD6"/>
    <w:rsid w:val="002D6D88"/>
    <w:rsid w:val="0037149E"/>
    <w:rsid w:val="003859B9"/>
    <w:rsid w:val="003B5F14"/>
    <w:rsid w:val="0043251E"/>
    <w:rsid w:val="004B7E0E"/>
    <w:rsid w:val="00532715"/>
    <w:rsid w:val="006D29BC"/>
    <w:rsid w:val="007262C3"/>
    <w:rsid w:val="007A6B6D"/>
    <w:rsid w:val="007E09BD"/>
    <w:rsid w:val="00805C10"/>
    <w:rsid w:val="008E19EC"/>
    <w:rsid w:val="008F2BB7"/>
    <w:rsid w:val="009C21A8"/>
    <w:rsid w:val="00A30225"/>
    <w:rsid w:val="00A35C0D"/>
    <w:rsid w:val="00A94617"/>
    <w:rsid w:val="00AA0AD6"/>
    <w:rsid w:val="00B004AF"/>
    <w:rsid w:val="00B55941"/>
    <w:rsid w:val="00B725C2"/>
    <w:rsid w:val="00C643B7"/>
    <w:rsid w:val="00CA65C0"/>
    <w:rsid w:val="00D1625B"/>
    <w:rsid w:val="00E041E4"/>
    <w:rsid w:val="00F06D71"/>
    <w:rsid w:val="00FC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5548"/>
  <w15:chartTrackingRefBased/>
  <w15:docId w15:val="{E5323F7E-40F6-43C9-BF4C-330EC10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BB7"/>
    <w:rPr>
      <w:rFonts w:eastAsiaTheme="majorEastAsia" w:cstheme="majorBidi"/>
      <w:color w:val="272727" w:themeColor="text1" w:themeTint="D8"/>
    </w:rPr>
  </w:style>
  <w:style w:type="paragraph" w:styleId="Title">
    <w:name w:val="Title"/>
    <w:basedOn w:val="Normal"/>
    <w:next w:val="Normal"/>
    <w:link w:val="TitleChar"/>
    <w:uiPriority w:val="10"/>
    <w:qFormat/>
    <w:rsid w:val="008F2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BB7"/>
    <w:pPr>
      <w:spacing w:before="160"/>
      <w:jc w:val="center"/>
    </w:pPr>
    <w:rPr>
      <w:i/>
      <w:iCs/>
      <w:color w:val="404040" w:themeColor="text1" w:themeTint="BF"/>
    </w:rPr>
  </w:style>
  <w:style w:type="character" w:customStyle="1" w:styleId="QuoteChar">
    <w:name w:val="Quote Char"/>
    <w:basedOn w:val="DefaultParagraphFont"/>
    <w:link w:val="Quote"/>
    <w:uiPriority w:val="29"/>
    <w:rsid w:val="008F2BB7"/>
    <w:rPr>
      <w:i/>
      <w:iCs/>
      <w:color w:val="404040" w:themeColor="text1" w:themeTint="BF"/>
    </w:rPr>
  </w:style>
  <w:style w:type="paragraph" w:styleId="ListParagraph">
    <w:name w:val="List Paragraph"/>
    <w:basedOn w:val="Normal"/>
    <w:uiPriority w:val="34"/>
    <w:qFormat/>
    <w:rsid w:val="008F2BB7"/>
    <w:pPr>
      <w:ind w:left="720"/>
      <w:contextualSpacing/>
    </w:pPr>
  </w:style>
  <w:style w:type="character" w:styleId="IntenseEmphasis">
    <w:name w:val="Intense Emphasis"/>
    <w:basedOn w:val="DefaultParagraphFont"/>
    <w:uiPriority w:val="21"/>
    <w:qFormat/>
    <w:rsid w:val="008F2BB7"/>
    <w:rPr>
      <w:i/>
      <w:iCs/>
      <w:color w:val="0F4761" w:themeColor="accent1" w:themeShade="BF"/>
    </w:rPr>
  </w:style>
  <w:style w:type="paragraph" w:styleId="IntenseQuote">
    <w:name w:val="Intense Quote"/>
    <w:basedOn w:val="Normal"/>
    <w:next w:val="Normal"/>
    <w:link w:val="IntenseQuoteChar"/>
    <w:uiPriority w:val="30"/>
    <w:qFormat/>
    <w:rsid w:val="008F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BB7"/>
    <w:rPr>
      <w:i/>
      <w:iCs/>
      <w:color w:val="0F4761" w:themeColor="accent1" w:themeShade="BF"/>
    </w:rPr>
  </w:style>
  <w:style w:type="character" w:styleId="IntenseReference">
    <w:name w:val="Intense Reference"/>
    <w:basedOn w:val="DefaultParagraphFont"/>
    <w:uiPriority w:val="32"/>
    <w:qFormat/>
    <w:rsid w:val="008F2BB7"/>
    <w:rPr>
      <w:b/>
      <w:bCs/>
      <w:smallCaps/>
      <w:color w:val="0F4761" w:themeColor="accent1" w:themeShade="BF"/>
      <w:spacing w:val="5"/>
    </w:rPr>
  </w:style>
  <w:style w:type="character" w:styleId="Hyperlink">
    <w:name w:val="Hyperlink"/>
    <w:basedOn w:val="DefaultParagraphFont"/>
    <w:uiPriority w:val="99"/>
    <w:unhideWhenUsed/>
    <w:rsid w:val="00C643B7"/>
    <w:rPr>
      <w:color w:val="467886" w:themeColor="hyperlink"/>
      <w:u w:val="single"/>
    </w:rPr>
  </w:style>
  <w:style w:type="character" w:styleId="FollowedHyperlink">
    <w:name w:val="FollowedHyperlink"/>
    <w:basedOn w:val="DefaultParagraphFont"/>
    <w:uiPriority w:val="99"/>
    <w:semiHidden/>
    <w:unhideWhenUsed/>
    <w:rsid w:val="00C643B7"/>
    <w:rPr>
      <w:color w:val="96607D" w:themeColor="followedHyperlink"/>
      <w:u w:val="single"/>
    </w:rPr>
  </w:style>
  <w:style w:type="character" w:styleId="UnresolvedMention">
    <w:name w:val="Unresolved Mention"/>
    <w:basedOn w:val="DefaultParagraphFont"/>
    <w:uiPriority w:val="99"/>
    <w:semiHidden/>
    <w:unhideWhenUsed/>
    <w:rsid w:val="00B55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paul-cicerchia-83a1437/" TargetMode="External"/><Relationship Id="rId13" Type="http://schemas.openxmlformats.org/officeDocument/2006/relationships/hyperlink" Target="https://mcgriff.com/" TargetMode="External"/><Relationship Id="rId18" Type="http://schemas.openxmlformats.org/officeDocument/2006/relationships/hyperlink" Target="https://greaternorcallcs.fntic.com/people/employee-bio/jerry-castro" TargetMode="External"/><Relationship Id="rId26" Type="http://schemas.openxmlformats.org/officeDocument/2006/relationships/hyperlink" Target="https://www.herelgroup.org/" TargetMode="External"/><Relationship Id="rId3" Type="http://schemas.openxmlformats.org/officeDocument/2006/relationships/settings" Target="settings.xml"/><Relationship Id="rId21" Type="http://schemas.openxmlformats.org/officeDocument/2006/relationships/hyperlink" Target="https://www.taftlaw.com/people/karl-d-camillucci/" TargetMode="External"/><Relationship Id="rId7" Type="http://schemas.openxmlformats.org/officeDocument/2006/relationships/hyperlink" Target="https://www.rc.com/gregory-r-faulkner" TargetMode="External"/><Relationship Id="rId12" Type="http://schemas.openxmlformats.org/officeDocument/2006/relationships/hyperlink" Target="https://www.linkedin.com/in/clint-provost-7201a530/" TargetMode="External"/><Relationship Id="rId17" Type="http://schemas.openxmlformats.org/officeDocument/2006/relationships/hyperlink" Target="https://www.morganlewis.com/" TargetMode="External"/><Relationship Id="rId25" Type="http://schemas.openxmlformats.org/officeDocument/2006/relationships/hyperlink" Target="https://www.morganlewis.com/" TargetMode="External"/><Relationship Id="rId2" Type="http://schemas.openxmlformats.org/officeDocument/2006/relationships/styles" Target="styles.xml"/><Relationship Id="rId16" Type="http://schemas.openxmlformats.org/officeDocument/2006/relationships/hyperlink" Target="https://www.morganlewis.com/bios/kkeyser" TargetMode="External"/><Relationship Id="rId20" Type="http://schemas.openxmlformats.org/officeDocument/2006/relationships/hyperlink" Target="https://ogc.umn.edu/staff/daniel-piper" TargetMode="External"/><Relationship Id="rId1" Type="http://schemas.openxmlformats.org/officeDocument/2006/relationships/numbering" Target="numbering.xml"/><Relationship Id="rId6" Type="http://schemas.openxmlformats.org/officeDocument/2006/relationships/hyperlink" Target="https://www.goulstonstorrs.com/" TargetMode="External"/><Relationship Id="rId11" Type="http://schemas.openxmlformats.org/officeDocument/2006/relationships/hyperlink" Target="https://mcgriff.com/" TargetMode="External"/><Relationship Id="rId24" Type="http://schemas.openxmlformats.org/officeDocument/2006/relationships/hyperlink" Target="https://www.morganlewis.com/bios/scottmcbride" TargetMode="External"/><Relationship Id="rId5" Type="http://schemas.openxmlformats.org/officeDocument/2006/relationships/hyperlink" Target="https://www.goulstonstorrs.com/people/vanessa-p-moody" TargetMode="External"/><Relationship Id="rId15" Type="http://schemas.openxmlformats.org/officeDocument/2006/relationships/hyperlink" Target="https://www.crcgroup.com/" TargetMode="External"/><Relationship Id="rId23" Type="http://schemas.openxmlformats.org/officeDocument/2006/relationships/hyperlink" Target="https://www.ucop.edu/uc-legal/attorneys-staff/attorneys-and-staff/index.html" TargetMode="External"/><Relationship Id="rId28" Type="http://schemas.openxmlformats.org/officeDocument/2006/relationships/theme" Target="theme/theme1.xml"/><Relationship Id="rId10" Type="http://schemas.openxmlformats.org/officeDocument/2006/relationships/hyperlink" Target="https://www.linkedin.com/in/jericgetty/" TargetMode="External"/><Relationship Id="rId19" Type="http://schemas.openxmlformats.org/officeDocument/2006/relationships/hyperlink" Target="https://greaternorcallcs.fntic.com/" TargetMode="External"/><Relationship Id="rId4" Type="http://schemas.openxmlformats.org/officeDocument/2006/relationships/webSettings" Target="webSettings.xml"/><Relationship Id="rId9" Type="http://schemas.openxmlformats.org/officeDocument/2006/relationships/hyperlink" Target="https://mcgriff.com/" TargetMode="External"/><Relationship Id="rId14" Type="http://schemas.openxmlformats.org/officeDocument/2006/relationships/hyperlink" Target="https://www.crcgroup.com/Profile-Page?id=57?portalid=34" TargetMode="External"/><Relationship Id="rId22" Type="http://schemas.openxmlformats.org/officeDocument/2006/relationships/hyperlink" Target="https://www.taftlaw.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Klosterman, Heidi</dc:creator>
  <cp:keywords/>
  <dc:description/>
  <cp:lastModifiedBy>Jennifer Braun</cp:lastModifiedBy>
  <cp:revision>6</cp:revision>
  <dcterms:created xsi:type="dcterms:W3CDTF">2026-06-10T14:28:00Z</dcterms:created>
  <dcterms:modified xsi:type="dcterms:W3CDTF">2026-06-10T19:06:00Z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4906-2409-8995</vt:lpwstr>
  </property>
</Properties>
</file>